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附件：</w:t>
      </w:r>
    </w:p>
    <w:p>
      <w:pPr>
        <w:spacing w:line="600" w:lineRule="exact"/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pacing w:val="-7"/>
          <w:sz w:val="36"/>
          <w:szCs w:val="44"/>
        </w:rPr>
        <w:t>巴南区2017年</w:t>
      </w:r>
      <w:r>
        <w:rPr>
          <w:rFonts w:hint="eastAsia" w:eastAsia="方正小标宋_GBK"/>
          <w:spacing w:val="-7"/>
          <w:sz w:val="36"/>
          <w:szCs w:val="44"/>
          <w:lang w:eastAsia="zh-CN"/>
        </w:rPr>
        <w:t>四</w:t>
      </w:r>
      <w:r>
        <w:rPr>
          <w:rFonts w:hint="eastAsia" w:eastAsia="方正小标宋_GBK"/>
          <w:spacing w:val="-7"/>
          <w:sz w:val="36"/>
          <w:szCs w:val="44"/>
        </w:rPr>
        <w:t>季度考核招聘卫生计生事业单位专业技术人</w:t>
      </w:r>
      <w:r>
        <w:rPr>
          <w:rFonts w:hint="eastAsia" w:eastAsia="方正小标宋_GBK"/>
          <w:spacing w:val="-7"/>
          <w:sz w:val="36"/>
          <w:szCs w:val="44"/>
          <w:lang w:eastAsia="zh-CN"/>
        </w:rPr>
        <w:t>员</w:t>
      </w:r>
      <w:r>
        <w:rPr>
          <w:rFonts w:hint="eastAsia" w:eastAsia="方正小标宋_GBK"/>
          <w:spacing w:val="-7"/>
          <w:sz w:val="36"/>
          <w:szCs w:val="44"/>
        </w:rPr>
        <w:t>岗位一览表</w:t>
      </w:r>
    </w:p>
    <w:tbl>
      <w:tblPr>
        <w:tblStyle w:val="6"/>
        <w:tblpPr w:leftFromText="180" w:rightFromText="180" w:vertAnchor="text" w:tblpXSpec="center" w:tblpY="1"/>
        <w:tblOverlap w:val="never"/>
        <w:tblW w:w="1405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1"/>
        <w:gridCol w:w="1688"/>
        <w:gridCol w:w="1095"/>
        <w:gridCol w:w="1080"/>
        <w:gridCol w:w="585"/>
        <w:gridCol w:w="2400"/>
        <w:gridCol w:w="1860"/>
        <w:gridCol w:w="990"/>
        <w:gridCol w:w="600"/>
        <w:gridCol w:w="3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" w:hRule="atLeast"/>
          <w:jc w:val="center"/>
        </w:trPr>
        <w:tc>
          <w:tcPr>
            <w:tcW w:w="5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招聘单位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招聘岗位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岗位类别及等级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名额</w:t>
            </w:r>
          </w:p>
        </w:tc>
        <w:tc>
          <w:tcPr>
            <w:tcW w:w="90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基本条件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" w:hRule="atLeast"/>
          <w:jc w:val="center"/>
        </w:trPr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学历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专业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任职资格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1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市第七人民医院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妇产科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专技12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bidi="ar"/>
              </w:rPr>
              <w:t>级及以上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全日制普通高校研究生学历并取得相应学位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妇产科学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35周岁及以下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取得住院医师规范化培训合格证书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2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市第七人民医院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儿科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专技12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bidi="ar"/>
              </w:rPr>
              <w:t>级及以上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全日制普通高校研究生学历并取得相应学位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儿科学、临床医学（七年制）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35周岁及以下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取得儿科住院医师规范化培训合格证书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3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市第七人民医院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麻醉科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专技12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bidi="ar"/>
              </w:rPr>
              <w:t>级及以上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全日制普通高校研究生学历并取得相应学位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麻醉学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35周岁及以下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区人民医院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儿科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专技12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bidi="ar"/>
              </w:rPr>
              <w:t>级及以上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全日制普通高校本科及以上学历并取得相应学位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本科：临床医学、儿科医学；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研究生：儿科学、临床医学（七年制）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35周岁及以下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取得儿科主治医师及以上资格证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区中医院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中医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专技12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bidi="ar"/>
              </w:rPr>
              <w:t>级及以上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全日制普通高校研究生学历并取得相应学位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中医内科学、中医外科学、中医学（七年制）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35周岁及以下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取得执业医师及以上资格证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区中医院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皮肤科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专技12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bidi="ar"/>
              </w:rPr>
              <w:t>级及以上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全日制普通高校研究生学历并取得相应学位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中医外科学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35周岁及以下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取得执业医师及以上资格证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区中医院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内一科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专技12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bidi="ar"/>
              </w:rPr>
              <w:t>级及以上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全日制普通高校研究生学历并取得相应学位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中西医结合临床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35周岁及以下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取得执业医师及以上资格证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区第二人民医院（区肿瘤医院）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临床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专技12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bidi="ar"/>
              </w:rPr>
              <w:t>级及以上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全日制普通高校研究生学历并取得相应学位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临床医学（七年制）、神经病学、内科学、外科学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35周岁及以下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取得执业医师及以上资格证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区第二人民医院（区肿瘤医院）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药剂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专技12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bidi="ar"/>
              </w:rPr>
              <w:t>级及以上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全日制普通高校研究生学历并取得相应学位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药剂学、药理学、药物分析学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35周岁及以下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  <w:t>取得药师及以上资格证</w:t>
            </w:r>
          </w:p>
        </w:tc>
      </w:tr>
    </w:tbl>
    <w:p>
      <w:pPr/>
      <w:bookmarkStart w:id="0" w:name="_GoBack"/>
      <w:bookmarkEnd w:id="0"/>
    </w:p>
    <w:sectPr>
      <w:pgSz w:w="16838" w:h="11906" w:orient="landscape"/>
      <w:pgMar w:top="1463" w:right="1440" w:bottom="1406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CD501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uiPriority w:val="0"/>
  </w:style>
  <w:style w:type="character" w:customStyle="1" w:styleId="7">
    <w:name w:val="font8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1"/>
      <w:szCs w:val="21"/>
      <w:u w:val="none"/>
    </w:rPr>
  </w:style>
  <w:style w:type="character" w:customStyle="1" w:styleId="8">
    <w:name w:val="font91"/>
    <w:basedOn w:val="4"/>
    <w:uiPriority w:val="0"/>
    <w:rPr>
      <w:rFonts w:hint="eastAsia" w:ascii="方正仿宋_GBK" w:hAnsi="方正仿宋_GBK" w:eastAsia="方正仿宋_GBK" w:cs="方正仿宋_GBK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2017-10-23T06:47:27Z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