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538" w:tblpY="220"/>
        <w:tblOverlap w:val="never"/>
        <w:tblW w:w="139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080"/>
        <w:gridCol w:w="800"/>
        <w:gridCol w:w="1080"/>
        <w:gridCol w:w="1700"/>
        <w:gridCol w:w="860"/>
        <w:gridCol w:w="1460"/>
        <w:gridCol w:w="1004"/>
        <w:gridCol w:w="2676"/>
        <w:gridCol w:w="1380"/>
        <w:gridCol w:w="1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394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color w:val="000000"/>
                <w:kern w:val="0"/>
                <w:sz w:val="36"/>
                <w:szCs w:val="36"/>
              </w:rPr>
              <w:t>巫溪县</w:t>
            </w:r>
            <w:r>
              <w:rPr>
                <w:rFonts w:hint="eastAsia" w:ascii="方正小标宋简体" w:hAnsi="宋体" w:eastAsia="方正小标宋简体" w:cs="宋体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  <w:t>人民医院</w:t>
            </w:r>
            <w:r>
              <w:rPr>
                <w:rFonts w:hint="eastAsia" w:ascii="方正小标宋简体" w:hAnsi="宋体" w:eastAsia="方正小标宋简体" w:cs="宋体"/>
                <w:b/>
                <w:bCs/>
                <w:color w:val="000000"/>
                <w:kern w:val="0"/>
                <w:sz w:val="36"/>
                <w:szCs w:val="36"/>
              </w:rPr>
              <w:t>2019年第一季度考核招聘卫生计生专业技术人员岗位一览表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招 聘岗 位</w:t>
            </w:r>
          </w:p>
        </w:tc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经费渠道</w:t>
            </w:r>
          </w:p>
        </w:tc>
        <w:tc>
          <w:tcPr>
            <w:tcW w:w="1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岗位类别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招聘条件和要求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考试考核方式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年  龄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学 历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（学位）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专  业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其他要求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82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巫溪县人民医院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财政差额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专技12级及以上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00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全日制普通高校2019年应届本科及以上学历并取得相应学位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临床医学、急诊医学、老年医学、儿科学、儿科医学、口腔医学、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口腔修复工艺学</w:t>
            </w:r>
          </w:p>
        </w:tc>
        <w:tc>
          <w:tcPr>
            <w:tcW w:w="13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全日制硕士研究生可放宽至40周岁；副主任医师(全日制本科学历）可放宽至40周岁；全日制博士研究生放宽至45周岁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笔试+结构化面试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超声科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财政差额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专技12级及以上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0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医学影像学、医学影像、临床医学</w:t>
            </w:r>
          </w:p>
        </w:tc>
        <w:tc>
          <w:tcPr>
            <w:tcW w:w="13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放射科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财政差额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专技12级及以上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限男性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0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医学影像、医学影像学、</w:t>
            </w:r>
            <w:r>
              <w:rPr>
                <w:rFonts w:cs="Calibri"/>
                <w:color w:val="000000"/>
                <w:kern w:val="0"/>
                <w:sz w:val="18"/>
                <w:szCs w:val="18"/>
              </w:rPr>
              <w:t>医学影像技术</w:t>
            </w:r>
          </w:p>
        </w:tc>
        <w:tc>
          <w:tcPr>
            <w:tcW w:w="13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8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康复科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80" w:firstLineChars="10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财政差额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专技12级及以上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0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针灸推拿学、推拿学、康复治疗学、康复医学、康复医学与理疗学</w:t>
            </w:r>
          </w:p>
        </w:tc>
        <w:tc>
          <w:tcPr>
            <w:tcW w:w="13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肿瘤科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180" w:firstLineChars="100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财政差额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专技12级及以上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0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临床医学类、医学技术、肿瘤学、生物医学工程（肿瘤放射治疗）                                           </w:t>
            </w:r>
          </w:p>
        </w:tc>
        <w:tc>
          <w:tcPr>
            <w:tcW w:w="13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8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检验科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财政差额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专技12级及以上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0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医学检验技术、医学检验</w:t>
            </w:r>
          </w:p>
        </w:tc>
        <w:tc>
          <w:tcPr>
            <w:tcW w:w="13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护  理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财政差额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专技12级及以上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0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护理学类</w:t>
            </w:r>
          </w:p>
        </w:tc>
        <w:tc>
          <w:tcPr>
            <w:tcW w:w="13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病案科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财政差额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专技12级及以上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0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信息管理与信息系统（医疗卫生方向）</w:t>
            </w:r>
          </w:p>
        </w:tc>
        <w:tc>
          <w:tcPr>
            <w:tcW w:w="13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8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医务科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财政差额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专技12级及以上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管理科学类（医学法律方向）</w:t>
            </w:r>
          </w:p>
        </w:tc>
        <w:tc>
          <w:tcPr>
            <w:tcW w:w="13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00" w:lineRule="exact"/>
        <w:ind w:right="374"/>
        <w:textAlignment w:val="auto"/>
        <w:outlineLvl w:val="9"/>
      </w:pPr>
    </w:p>
    <w:p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12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723AD9"/>
    <w:rsid w:val="4A723AD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2019-03-04T09:21:00Z</dcterms:created>
  <dc:creator>Administrator</dc:creator>
  <cp:lastModifiedBy>Administrator</cp:lastModifiedBy>
  <dcterms:modified xsi:type="dcterms:W3CDTF">2019-03-04T09:21:48Z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